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D4" w:rsidRDefault="00DC3636" w:rsidP="004D1AD4">
      <w:pPr>
        <w:pStyle w:val="a4"/>
        <w:jc w:val="center"/>
        <w:rPr>
          <w:rFonts w:asciiTheme="minorHAnsi" w:hAnsiTheme="minorHAnsi" w:cstheme="minorHAnsi"/>
          <w:b/>
          <w:bCs/>
        </w:rPr>
      </w:pPr>
      <w:r w:rsidRPr="00452AC4">
        <w:rPr>
          <w:rFonts w:asciiTheme="minorHAnsi" w:hAnsiTheme="minorHAnsi" w:cstheme="minorHAnsi"/>
          <w:b/>
          <w:bCs/>
        </w:rPr>
        <w:t xml:space="preserve">УВЕДОМЛЕНИЕ </w:t>
      </w:r>
    </w:p>
    <w:p w:rsidR="00DC3636" w:rsidRPr="00452AC4" w:rsidRDefault="00DC3636" w:rsidP="004D1AD4">
      <w:pPr>
        <w:pStyle w:val="a4"/>
        <w:jc w:val="center"/>
        <w:rPr>
          <w:rFonts w:asciiTheme="minorHAnsi" w:hAnsiTheme="minorHAnsi" w:cstheme="minorHAnsi"/>
          <w:b/>
          <w:bCs/>
        </w:rPr>
      </w:pPr>
      <w:r w:rsidRPr="00452AC4">
        <w:rPr>
          <w:rFonts w:asciiTheme="minorHAnsi" w:hAnsiTheme="minorHAnsi" w:cstheme="minorHAnsi"/>
          <w:b/>
          <w:bCs/>
        </w:rPr>
        <w:t>ЛИЦ, ИМЕЮЩИХ ПРЕИМУЩЕСТВЕННОЕ ПРАВО ПРИОБРЕТЕНИЯ ДОПОЛНИТЕЛЬНЫХ АКЦИЙ</w:t>
      </w:r>
    </w:p>
    <w:p w:rsidR="00452AC4" w:rsidRPr="00452AC4" w:rsidRDefault="00452AC4" w:rsidP="00452AC4">
      <w:pPr>
        <w:pStyle w:val="a4"/>
        <w:jc w:val="both"/>
        <w:rPr>
          <w:rFonts w:asciiTheme="minorHAnsi" w:hAnsiTheme="minorHAnsi" w:cstheme="minorHAnsi"/>
        </w:rPr>
      </w:pPr>
    </w:p>
    <w:p w:rsidR="00DC3636" w:rsidRPr="00452AC4" w:rsidRDefault="00DC3636" w:rsidP="00452AC4">
      <w:pPr>
        <w:pStyle w:val="a4"/>
        <w:jc w:val="both"/>
        <w:rPr>
          <w:rFonts w:asciiTheme="minorHAnsi" w:hAnsiTheme="minorHAnsi" w:cstheme="minorHAnsi"/>
        </w:rPr>
      </w:pPr>
      <w:r w:rsidRPr="00452AC4">
        <w:rPr>
          <w:rFonts w:asciiTheme="minorHAnsi" w:hAnsiTheme="minorHAnsi" w:cstheme="minorHAnsi"/>
        </w:rPr>
        <w:t>Публичное акционерное общество «Медико-инструментальный завод им. М. Горького»</w:t>
      </w:r>
      <w:r w:rsidRPr="00452AC4">
        <w:rPr>
          <w:rFonts w:asciiTheme="minorHAnsi" w:hAnsiTheme="minorHAnsi" w:cstheme="minorHAnsi"/>
        </w:rPr>
        <w:t xml:space="preserve"> (далее по тексту - </w:t>
      </w:r>
      <w:r w:rsidRPr="00452AC4">
        <w:rPr>
          <w:rFonts w:asciiTheme="minorHAnsi" w:hAnsiTheme="minorHAnsi" w:cstheme="minorHAnsi"/>
        </w:rPr>
        <w:t xml:space="preserve">Эмитент) сообщает, что Банком России </w:t>
      </w:r>
      <w:r w:rsidRPr="00452AC4">
        <w:rPr>
          <w:rFonts w:asciiTheme="minorHAnsi" w:hAnsiTheme="minorHAnsi" w:cstheme="minorHAnsi"/>
        </w:rPr>
        <w:t>19</w:t>
      </w:r>
      <w:r w:rsidRPr="00452AC4">
        <w:rPr>
          <w:rFonts w:asciiTheme="minorHAnsi" w:hAnsiTheme="minorHAnsi" w:cstheme="minorHAnsi"/>
        </w:rPr>
        <w:t>.</w:t>
      </w:r>
      <w:r w:rsidRPr="00452AC4">
        <w:rPr>
          <w:rFonts w:asciiTheme="minorHAnsi" w:hAnsiTheme="minorHAnsi" w:cstheme="minorHAnsi"/>
        </w:rPr>
        <w:t>10</w:t>
      </w:r>
      <w:r w:rsidRPr="00452AC4">
        <w:rPr>
          <w:rFonts w:asciiTheme="minorHAnsi" w:hAnsiTheme="minorHAnsi" w:cstheme="minorHAnsi"/>
        </w:rPr>
        <w:t>.2023 г. осуществлена государственная регистрация дополнительного выпуска обыкновенных акц</w:t>
      </w:r>
      <w:r w:rsidRPr="00452AC4">
        <w:rPr>
          <w:rFonts w:asciiTheme="minorHAnsi" w:hAnsiTheme="minorHAnsi" w:cstheme="minorHAnsi"/>
        </w:rPr>
        <w:t>ий Эмитента</w:t>
      </w:r>
      <w:r w:rsidRPr="00452AC4">
        <w:rPr>
          <w:rFonts w:asciiTheme="minorHAnsi" w:hAnsiTheme="minorHAnsi" w:cstheme="minorHAnsi"/>
        </w:rPr>
        <w:t xml:space="preserve">. Дополнительному выпуску ценных бумаг присвоен государственный регистрационный номер </w:t>
      </w:r>
      <w:r w:rsidRPr="00452AC4">
        <w:rPr>
          <w:rFonts w:asciiTheme="minorHAnsi" w:hAnsiTheme="minorHAnsi" w:cstheme="minorHAnsi"/>
          <w:shd w:val="clear" w:color="auto" w:fill="FFFFFF"/>
        </w:rPr>
        <w:t>1-01-10660-E-002D</w:t>
      </w:r>
      <w:r w:rsidRPr="00452AC4">
        <w:rPr>
          <w:rFonts w:asciiTheme="minorHAnsi" w:hAnsiTheme="minorHAnsi" w:cstheme="minorHAnsi"/>
        </w:rPr>
        <w:t>.</w:t>
      </w:r>
    </w:p>
    <w:p w:rsidR="00DC3636" w:rsidRPr="00452AC4" w:rsidRDefault="00DC3636" w:rsidP="00452AC4">
      <w:pPr>
        <w:pStyle w:val="a4"/>
        <w:jc w:val="both"/>
        <w:rPr>
          <w:rFonts w:asciiTheme="minorHAnsi" w:eastAsia="Calibri" w:hAnsiTheme="minorHAnsi" w:cstheme="minorHAnsi"/>
        </w:rPr>
      </w:pPr>
      <w:r w:rsidRPr="00452AC4">
        <w:rPr>
          <w:rFonts w:asciiTheme="minorHAnsi" w:eastAsia="Calibri" w:hAnsiTheme="minorHAnsi" w:cstheme="minorHAnsi"/>
        </w:rPr>
        <w:t xml:space="preserve">Количество размещаемых ценных бумаг выпуска – </w:t>
      </w:r>
      <w:r w:rsidRPr="00452AC4">
        <w:rPr>
          <w:rFonts w:asciiTheme="minorHAnsi" w:hAnsiTheme="minorHAnsi" w:cstheme="minorHAnsi"/>
        </w:rPr>
        <w:t>5</w:t>
      </w:r>
      <w:r w:rsidRPr="00452AC4">
        <w:rPr>
          <w:rFonts w:asciiTheme="minorHAnsi" w:hAnsiTheme="minorHAnsi" w:cstheme="minorHAnsi"/>
        </w:rPr>
        <w:t xml:space="preserve"> 000 000 </w:t>
      </w:r>
      <w:r w:rsidRPr="00452AC4">
        <w:rPr>
          <w:rFonts w:asciiTheme="minorHAnsi" w:eastAsia="Calibri" w:hAnsiTheme="minorHAnsi" w:cstheme="minorHAnsi"/>
        </w:rPr>
        <w:t>штук.</w:t>
      </w:r>
    </w:p>
    <w:p w:rsidR="00DC3636" w:rsidRPr="00452AC4" w:rsidRDefault="00DC3636" w:rsidP="00452AC4">
      <w:pPr>
        <w:pStyle w:val="a4"/>
        <w:jc w:val="both"/>
        <w:rPr>
          <w:rFonts w:asciiTheme="minorHAnsi" w:eastAsia="Calibri" w:hAnsiTheme="minorHAnsi" w:cstheme="minorHAnsi"/>
        </w:rPr>
      </w:pPr>
      <w:r w:rsidRPr="00452AC4">
        <w:rPr>
          <w:rFonts w:asciiTheme="minorHAnsi" w:eastAsia="Calibri" w:hAnsiTheme="minorHAnsi" w:cstheme="minorHAnsi"/>
        </w:rPr>
        <w:t xml:space="preserve">Цена размещения дополнительных акций – </w:t>
      </w:r>
      <w:r w:rsidRPr="00452AC4">
        <w:rPr>
          <w:rFonts w:asciiTheme="minorHAnsi" w:eastAsia="Calibri" w:hAnsiTheme="minorHAnsi" w:cstheme="minorHAnsi"/>
        </w:rPr>
        <w:t>1</w:t>
      </w:r>
      <w:r w:rsidRPr="00452AC4">
        <w:rPr>
          <w:rFonts w:asciiTheme="minorHAnsi" w:hAnsiTheme="minorHAnsi" w:cstheme="minorHAnsi"/>
          <w:bCs/>
        </w:rPr>
        <w:t xml:space="preserve"> рубл</w:t>
      </w:r>
      <w:r w:rsidRPr="00452AC4">
        <w:rPr>
          <w:rFonts w:asciiTheme="minorHAnsi" w:hAnsiTheme="minorHAnsi" w:cstheme="minorHAnsi"/>
          <w:bCs/>
        </w:rPr>
        <w:t>ь</w:t>
      </w:r>
      <w:r w:rsidRPr="00452AC4">
        <w:rPr>
          <w:rFonts w:asciiTheme="minorHAnsi" w:hAnsiTheme="minorHAnsi" w:cstheme="minorHAnsi"/>
          <w:bCs/>
        </w:rPr>
        <w:t xml:space="preserve"> </w:t>
      </w:r>
      <w:r w:rsidR="004D1AD4">
        <w:rPr>
          <w:rFonts w:asciiTheme="minorHAnsi" w:eastAsia="Calibri" w:hAnsiTheme="minorHAnsi" w:cstheme="minorHAnsi"/>
        </w:rPr>
        <w:t>за одну а</w:t>
      </w:r>
      <w:r w:rsidRPr="00452AC4">
        <w:rPr>
          <w:rFonts w:asciiTheme="minorHAnsi" w:eastAsia="Calibri" w:hAnsiTheme="minorHAnsi" w:cstheme="minorHAnsi"/>
        </w:rPr>
        <w:t>кцию. Цена размещения</w:t>
      </w:r>
      <w:r w:rsidR="00452AC4" w:rsidRPr="00452AC4">
        <w:rPr>
          <w:rFonts w:asciiTheme="minorHAnsi" w:eastAsia="Calibri" w:hAnsiTheme="minorHAnsi" w:cstheme="minorHAnsi"/>
        </w:rPr>
        <w:t xml:space="preserve"> </w:t>
      </w:r>
      <w:r w:rsidRPr="00452AC4">
        <w:rPr>
          <w:rFonts w:asciiTheme="minorHAnsi" w:eastAsia="Calibri" w:hAnsiTheme="minorHAnsi" w:cstheme="minorHAnsi"/>
        </w:rPr>
        <w:t xml:space="preserve">дополнительных акций лицам, имеющим преимущественное право приобретения дополнительных акций – </w:t>
      </w:r>
      <w:r w:rsidRPr="00452AC4">
        <w:rPr>
          <w:rFonts w:asciiTheme="minorHAnsi" w:hAnsiTheme="minorHAnsi" w:cstheme="minorHAnsi"/>
          <w:bCs/>
        </w:rPr>
        <w:t>1</w:t>
      </w:r>
      <w:r w:rsidRPr="00452AC4">
        <w:rPr>
          <w:rFonts w:asciiTheme="minorHAnsi" w:hAnsiTheme="minorHAnsi" w:cstheme="minorHAnsi"/>
          <w:bCs/>
        </w:rPr>
        <w:t xml:space="preserve"> </w:t>
      </w:r>
      <w:r w:rsidRPr="00452AC4">
        <w:rPr>
          <w:rFonts w:asciiTheme="minorHAnsi" w:eastAsia="Calibri" w:hAnsiTheme="minorHAnsi" w:cstheme="minorHAnsi"/>
        </w:rPr>
        <w:t>рубл</w:t>
      </w:r>
      <w:r w:rsidRPr="00452AC4">
        <w:rPr>
          <w:rFonts w:asciiTheme="minorHAnsi" w:eastAsia="Calibri" w:hAnsiTheme="minorHAnsi" w:cstheme="minorHAnsi"/>
        </w:rPr>
        <w:t>ь</w:t>
      </w:r>
      <w:r w:rsidRPr="00452AC4">
        <w:rPr>
          <w:rFonts w:asciiTheme="minorHAnsi" w:eastAsia="Calibri" w:hAnsiTheme="minorHAnsi" w:cstheme="minorHAnsi"/>
        </w:rPr>
        <w:t xml:space="preserve"> за одну акцию.</w:t>
      </w:r>
    </w:p>
    <w:p w:rsidR="00DC3636" w:rsidRPr="00452AC4" w:rsidRDefault="00DC3636" w:rsidP="00452AC4">
      <w:pPr>
        <w:pStyle w:val="a4"/>
        <w:jc w:val="both"/>
        <w:rPr>
          <w:rFonts w:asciiTheme="minorHAnsi" w:eastAsia="Calibri" w:hAnsiTheme="minorHAnsi" w:cstheme="minorHAnsi"/>
        </w:rPr>
      </w:pPr>
      <w:r w:rsidRPr="00452AC4">
        <w:rPr>
          <w:rFonts w:asciiTheme="minorHAnsi" w:eastAsia="Calibri" w:hAnsiTheme="minorHAnsi" w:cstheme="minorHAnsi"/>
        </w:rPr>
        <w:t xml:space="preserve">Дата определения (фиксации) лиц, имеющих преимущественное право приобретения размещаемых ценных бумаг – </w:t>
      </w:r>
      <w:r w:rsidRPr="00452AC4">
        <w:rPr>
          <w:rFonts w:asciiTheme="minorHAnsi" w:hAnsiTheme="minorHAnsi" w:cstheme="minorHAnsi"/>
        </w:rPr>
        <w:t xml:space="preserve">06 июня 2023 </w:t>
      </w:r>
      <w:r w:rsidRPr="00452AC4">
        <w:rPr>
          <w:rFonts w:asciiTheme="minorHAnsi" w:eastAsia="Calibri" w:hAnsiTheme="minorHAnsi" w:cstheme="minorHAnsi"/>
        </w:rPr>
        <w:t>года.</w:t>
      </w:r>
    </w:p>
    <w:p w:rsidR="00452AC4" w:rsidRPr="00452AC4" w:rsidRDefault="00452AC4" w:rsidP="00452AC4">
      <w:pPr>
        <w:pStyle w:val="a4"/>
        <w:jc w:val="both"/>
        <w:rPr>
          <w:rFonts w:asciiTheme="minorHAnsi" w:eastAsia="Calibri" w:hAnsiTheme="minorHAnsi" w:cstheme="minorHAnsi"/>
          <w:b/>
        </w:rPr>
      </w:pPr>
    </w:p>
    <w:p w:rsidR="00DC3636" w:rsidRPr="00452AC4" w:rsidRDefault="00DC3636" w:rsidP="00452AC4">
      <w:pPr>
        <w:pStyle w:val="a4"/>
        <w:jc w:val="both"/>
        <w:rPr>
          <w:rFonts w:asciiTheme="minorHAnsi" w:eastAsia="Calibri" w:hAnsiTheme="minorHAnsi" w:cstheme="minorHAnsi"/>
          <w:b/>
        </w:rPr>
      </w:pPr>
      <w:r w:rsidRPr="00452AC4">
        <w:rPr>
          <w:rFonts w:asciiTheme="minorHAnsi" w:eastAsia="Calibri" w:hAnsiTheme="minorHAnsi" w:cstheme="minorHAnsi"/>
          <w:b/>
        </w:rPr>
        <w:t>Порядок уведомления лиц, имеющих преимущественное право приобретения размещаемых ценных бумаг, о возможности его осуществления:</w:t>
      </w:r>
    </w:p>
    <w:p w:rsidR="00DC3636" w:rsidRPr="00452AC4" w:rsidRDefault="00452AC4" w:rsidP="00452AC4">
      <w:pPr>
        <w:pStyle w:val="a4"/>
        <w:jc w:val="both"/>
        <w:rPr>
          <w:rFonts w:asciiTheme="minorHAnsi" w:eastAsia="Calibri" w:hAnsiTheme="minorHAnsi" w:cstheme="minorHAnsi"/>
        </w:rPr>
      </w:pPr>
      <w:r w:rsidRPr="00452AC4">
        <w:rPr>
          <w:rFonts w:asciiTheme="minorHAnsi" w:eastAsia="Calibri" w:hAnsiTheme="minorHAnsi" w:cstheme="minorHAnsi"/>
        </w:rPr>
        <w:t xml:space="preserve">Уведомление лицам, имеющим преимущественное право приобретения размещаемых ценных бумаг о возможности его осуществления (далее – Уведомление) осуществляется в течение 10 (Десяти) дней с момента государственной регистрации дополнительного выпуска ценных бумаг путем </w:t>
      </w:r>
      <w:r w:rsidRPr="00452AC4">
        <w:rPr>
          <w:rFonts w:asciiTheme="minorHAnsi" w:hAnsiTheme="minorHAnsi" w:cstheme="minorHAnsi"/>
          <w:shd w:val="clear" w:color="auto" w:fill="FFFFFF"/>
        </w:rPr>
        <w:t xml:space="preserve">размещения на сайте Эмитента в информационно-телекоммуникационной сети "Интернет" </w:t>
      </w:r>
      <w:r w:rsidRPr="00452AC4">
        <w:rPr>
          <w:rFonts w:asciiTheme="minorHAnsi" w:hAnsiTheme="minorHAnsi" w:cstheme="minorHAnsi"/>
        </w:rPr>
        <w:t>по адресу:</w:t>
      </w:r>
      <w:r w:rsidRPr="00452AC4">
        <w:rPr>
          <w:rFonts w:asciiTheme="minorHAnsi" w:hAnsiTheme="minorHAnsi" w:cstheme="minorHAnsi"/>
          <w:shd w:val="clear" w:color="auto" w:fill="FFFFFF"/>
        </w:rPr>
        <w:t> </w:t>
      </w:r>
      <w:r w:rsidRPr="00452AC4">
        <w:rPr>
          <w:rStyle w:val="a5"/>
          <w:rFonts w:asciiTheme="minorHAnsi" w:hAnsiTheme="minorHAnsi" w:cstheme="minorHAnsi"/>
          <w:shd w:val="clear" w:color="auto" w:fill="FFFFFF"/>
        </w:rPr>
        <w:t>http://www.</w:t>
      </w:r>
      <w:r w:rsidRPr="00452AC4">
        <w:rPr>
          <w:rStyle w:val="a5"/>
          <w:rFonts w:asciiTheme="minorHAnsi" w:hAnsiTheme="minorHAnsi" w:cstheme="minorHAnsi"/>
          <w:shd w:val="clear" w:color="auto" w:fill="FFFFFF"/>
          <w:lang w:val="en-US"/>
        </w:rPr>
        <w:t>tumbotino</w:t>
      </w:r>
      <w:r w:rsidRPr="00452AC4">
        <w:rPr>
          <w:rStyle w:val="a5"/>
          <w:rFonts w:asciiTheme="minorHAnsi" w:hAnsiTheme="minorHAnsi" w:cstheme="minorHAnsi"/>
          <w:shd w:val="clear" w:color="auto" w:fill="FFFFFF"/>
        </w:rPr>
        <w:t>.ru/.</w:t>
      </w:r>
      <w:r w:rsidRPr="00452AC4">
        <w:rPr>
          <w:rFonts w:asciiTheme="minorHAnsi" w:eastAsia="Calibri" w:hAnsiTheme="minorHAnsi" w:cstheme="minorHAnsi"/>
        </w:rPr>
        <w:t xml:space="preserve"> Уведомление должно содержать сведения о количестве размещаемых акций, цене их размещения, в том числе о цене их размещения при осуществлении преимущественного права приобретения, порядке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таких лиц о приобретении акций должны быть поданы Эмитенту, и сроке, в течение которого такие заявления должны поступить Эмитенту (сроке действия преимущественного права), который составляет 45 (Сорок пять) дней с момента опубликования уведомления акционеров о возможности осуществления преимущественного права приобретения размещаемых ценных бумаг в порядке, установленном</w:t>
      </w:r>
      <w:r w:rsidRPr="00452AC4">
        <w:rPr>
          <w:rFonts w:asciiTheme="minorHAnsi" w:eastAsia="Calibri" w:hAnsiTheme="minorHAnsi" w:cstheme="minorHAnsi"/>
        </w:rPr>
        <w:t xml:space="preserve"> </w:t>
      </w:r>
      <w:r w:rsidR="004D1AD4">
        <w:rPr>
          <w:rFonts w:asciiTheme="minorHAnsi" w:eastAsia="Calibri" w:hAnsiTheme="minorHAnsi" w:cstheme="minorHAnsi"/>
        </w:rPr>
        <w:t xml:space="preserve">в </w:t>
      </w:r>
      <w:r w:rsidRPr="00452AC4">
        <w:rPr>
          <w:rFonts w:asciiTheme="minorHAnsi" w:eastAsia="Calibri" w:hAnsiTheme="minorHAnsi" w:cstheme="minorHAnsi"/>
        </w:rPr>
        <w:t>зарегистрированном Документе, содержащим условия размещения ценных бумаг.</w:t>
      </w:r>
    </w:p>
    <w:p w:rsidR="00452AC4" w:rsidRPr="00452AC4" w:rsidRDefault="00452AC4" w:rsidP="00452AC4">
      <w:pPr>
        <w:pStyle w:val="a4"/>
        <w:jc w:val="both"/>
        <w:rPr>
          <w:rFonts w:asciiTheme="minorHAnsi" w:eastAsia="Calibri" w:hAnsiTheme="minorHAnsi" w:cstheme="minorHAnsi"/>
          <w:b/>
        </w:rPr>
      </w:pPr>
    </w:p>
    <w:p w:rsidR="00DC3636" w:rsidRPr="00452AC4" w:rsidRDefault="00DC3636" w:rsidP="00452AC4">
      <w:pPr>
        <w:pStyle w:val="a4"/>
        <w:jc w:val="both"/>
        <w:rPr>
          <w:rFonts w:asciiTheme="minorHAnsi" w:eastAsia="Calibri" w:hAnsiTheme="minorHAnsi" w:cstheme="minorHAnsi"/>
          <w:b/>
        </w:rPr>
      </w:pPr>
      <w:r w:rsidRPr="00452AC4">
        <w:rPr>
          <w:rFonts w:asciiTheme="minorHAnsi" w:eastAsia="Calibri" w:hAnsiTheme="minorHAnsi" w:cstheme="minorHAnsi"/>
          <w:b/>
        </w:rPr>
        <w:t>Порядок осуществления преимущественного права приобретения размещаемых ценных бумаг:</w:t>
      </w:r>
    </w:p>
    <w:p w:rsidR="00452AC4" w:rsidRPr="00452AC4" w:rsidRDefault="00452AC4" w:rsidP="004D1AD4">
      <w:pPr>
        <w:pStyle w:val="a4"/>
        <w:jc w:val="both"/>
        <w:rPr>
          <w:rFonts w:eastAsia="Calibri"/>
        </w:rPr>
      </w:pPr>
      <w:r w:rsidRPr="00452AC4">
        <w:rPr>
          <w:rFonts w:eastAsia="Calibri"/>
        </w:rPr>
        <w:t>Л</w:t>
      </w:r>
      <w:r w:rsidRPr="00452AC4">
        <w:rPr>
          <w:rFonts w:eastAsia="Calibri"/>
        </w:rPr>
        <w:t xml:space="preserve">ицо, имеющее преимущественное право приобретения размещаемых ценных бумаг, в соответствии со ст. 40, 41 Федерального закона "Об акционерных обществах" от 26.12.1995 N 208-ФЗ, вправе осуществить свое преимущественное право путем подачи заявления о приобретении размещаемых ценных бумаг и исполнения обязанности по их оплате. </w:t>
      </w:r>
    </w:p>
    <w:p w:rsidR="00452AC4" w:rsidRPr="00452AC4" w:rsidRDefault="00452AC4" w:rsidP="004D1AD4">
      <w:pPr>
        <w:pStyle w:val="a4"/>
        <w:jc w:val="both"/>
        <w:rPr>
          <w:rFonts w:eastAsia="Calibri"/>
        </w:rPr>
      </w:pPr>
      <w:r w:rsidRPr="00452AC4">
        <w:rPr>
          <w:rFonts w:eastAsia="Calibri"/>
        </w:rPr>
        <w:t xml:space="preserve">Заявление о приобретении размещаемых ценных бумаг лица, имеющего преимущественное право должно содержать сведения, позволяющие идентифицировать подавшее его лицо и количество приобретаемых им ценных бумаг. </w:t>
      </w:r>
    </w:p>
    <w:p w:rsidR="00452AC4" w:rsidRPr="00452AC4" w:rsidRDefault="00452AC4" w:rsidP="004D1AD4">
      <w:pPr>
        <w:pStyle w:val="a4"/>
        <w:jc w:val="both"/>
        <w:rPr>
          <w:rFonts w:eastAsia="Calibri"/>
        </w:rPr>
      </w:pPr>
      <w:r w:rsidRPr="00452AC4">
        <w:rPr>
          <w:rFonts w:eastAsia="Calibri"/>
        </w:rPr>
        <w:t>Заявление подается путем направления или вручения под роспись Регистратору документа в письменной форме, подписанного подающим заявление лицом, а также путем направления Регистратору электронного документа, подписанного квалифицированной электронной подписью или подписанной п</w:t>
      </w:r>
      <w:bookmarkStart w:id="0" w:name="_GoBack"/>
      <w:bookmarkEnd w:id="0"/>
      <w:r w:rsidRPr="00452AC4">
        <w:rPr>
          <w:rFonts w:eastAsia="Calibri"/>
        </w:rPr>
        <w:t xml:space="preserve">ростой или неквалифицированной электронной подписью (в случае если указанная возможность предусмотрена правилами Регистратора) лицом, реализующим преимущественное право. </w:t>
      </w:r>
    </w:p>
    <w:p w:rsidR="00452AC4" w:rsidRPr="00452AC4" w:rsidRDefault="00452AC4" w:rsidP="004D1AD4">
      <w:pPr>
        <w:pStyle w:val="a4"/>
        <w:jc w:val="both"/>
        <w:rPr>
          <w:rFonts w:eastAsia="Calibri"/>
        </w:rPr>
      </w:pPr>
      <w:r w:rsidRPr="00452AC4">
        <w:rPr>
          <w:rFonts w:eastAsia="Calibri"/>
        </w:rPr>
        <w:t xml:space="preserve">Лицо, имеющее преимущественное право и не зарегистрированное в реестре акционеров Эмитента, осуществляет такое преимущественное право путем дачи соответствующего указания (инструкции) лицу, которое осуществляет учет его прав на акции Эмитента. Такое указание (инструкция) дается в соответствии с требованиями Федерального закона «О рынке ценных бумаг» от 22.04.1996 N 39ФЗ и должно содержать количество приобретаемых ценных бумаг. При этом заявление о приобретении размещаемых ценных бумаг считается поданным Эмитенту в день получения Регистратором от номинального держателя акций, зарегистрированного в реестре акционеров Эмитента, сообщения, содержащего волеизъявление такого лица. </w:t>
      </w:r>
    </w:p>
    <w:p w:rsidR="00452AC4" w:rsidRPr="00452AC4" w:rsidRDefault="00452AC4" w:rsidP="004D1AD4">
      <w:pPr>
        <w:pStyle w:val="a4"/>
        <w:jc w:val="both"/>
        <w:rPr>
          <w:rFonts w:eastAsia="Calibri"/>
        </w:rPr>
      </w:pPr>
      <w:r w:rsidRPr="00452AC4">
        <w:rPr>
          <w:rFonts w:eastAsia="Calibri"/>
        </w:rPr>
        <w:lastRenderedPageBreak/>
        <w:t xml:space="preserve">Заявление может быть направлено или вручено под роспись Регистратору по адресу его места нахождения (адресу для направления почтовой корреспонденции), а также по адресу любого отделения или филиала Регистратора, указанного на его официальном сайте </w:t>
      </w:r>
      <w:r w:rsidRPr="00452AC4">
        <w:rPr>
          <w:rStyle w:val="a5"/>
          <w:rFonts w:asciiTheme="minorHAnsi" w:hAnsiTheme="minorHAnsi" w:cstheme="minorHAnsi"/>
        </w:rPr>
        <w:t>https://intraco.ru/</w:t>
      </w:r>
      <w:r w:rsidRPr="00452AC4">
        <w:rPr>
          <w:rFonts w:eastAsia="Calibri"/>
        </w:rPr>
        <w:t xml:space="preserve">.     </w:t>
      </w:r>
    </w:p>
    <w:p w:rsidR="00452AC4" w:rsidRPr="00452AC4" w:rsidRDefault="00452AC4" w:rsidP="004D1AD4">
      <w:pPr>
        <w:pStyle w:val="a4"/>
        <w:jc w:val="both"/>
        <w:rPr>
          <w:rFonts w:eastAsia="Calibri"/>
        </w:rPr>
      </w:pPr>
      <w:r w:rsidRPr="00452AC4">
        <w:rPr>
          <w:rFonts w:eastAsia="Calibri"/>
        </w:rPr>
        <w:t xml:space="preserve">Заявление подается по рабочим дням в часы приема зарегистрированных лиц, указанные на официальном сайте Регистратора: </w:t>
      </w:r>
      <w:r w:rsidRPr="00452AC4">
        <w:rPr>
          <w:rStyle w:val="a5"/>
          <w:rFonts w:asciiTheme="minorHAnsi" w:hAnsiTheme="minorHAnsi" w:cstheme="minorHAnsi"/>
        </w:rPr>
        <w:t>https://intraco.ru/</w:t>
      </w:r>
      <w:r w:rsidRPr="00452AC4">
        <w:rPr>
          <w:rFonts w:eastAsia="Calibri"/>
        </w:rPr>
        <w:t xml:space="preserve">, в течение 45 (Сорока пяти) дней с момента уведомления акционеров о возможности осуществления преимущественного права приобретения размещаемых ценных бумаг в порядке, предусмотренном </w:t>
      </w:r>
      <w:r w:rsidR="004D1AD4">
        <w:rPr>
          <w:rFonts w:eastAsia="Calibri"/>
        </w:rPr>
        <w:t xml:space="preserve">в </w:t>
      </w:r>
      <w:r w:rsidR="004D1AD4" w:rsidRPr="00452AC4">
        <w:rPr>
          <w:rFonts w:eastAsia="Calibri"/>
        </w:rPr>
        <w:t>зарегистрированном Документе, содержащим условия размещения ценных бумаг</w:t>
      </w:r>
      <w:r w:rsidRPr="00452AC4">
        <w:rPr>
          <w:rFonts w:eastAsia="Calibri"/>
        </w:rPr>
        <w:t xml:space="preserve">. </w:t>
      </w:r>
    </w:p>
    <w:p w:rsidR="00452AC4" w:rsidRPr="00452AC4" w:rsidRDefault="00452AC4" w:rsidP="004D1AD4">
      <w:pPr>
        <w:pStyle w:val="a4"/>
        <w:jc w:val="both"/>
        <w:rPr>
          <w:rFonts w:eastAsia="Calibri"/>
        </w:rPr>
      </w:pPr>
      <w:r w:rsidRPr="00452AC4">
        <w:rPr>
          <w:rFonts w:eastAsia="Calibri"/>
        </w:rPr>
        <w:t xml:space="preserve">Заявление о приобретении размещаемых ценных бумаг, направленное или врученное Регистратору, считается поданным Эмитенту в день его получения Регистратором. </w:t>
      </w:r>
    </w:p>
    <w:p w:rsidR="00452AC4" w:rsidRPr="00452AC4" w:rsidRDefault="00452AC4" w:rsidP="004D1AD4">
      <w:pPr>
        <w:pStyle w:val="a4"/>
        <w:jc w:val="both"/>
        <w:rPr>
          <w:rFonts w:eastAsia="Calibri"/>
        </w:rPr>
      </w:pPr>
      <w:r w:rsidRPr="00452AC4">
        <w:rPr>
          <w:rFonts w:eastAsia="Calibri"/>
        </w:rPr>
        <w:t xml:space="preserve">Лицо, имеющее преимущественное право приобретения размещаемых ценных бумаг, вправе осуществить свое преимущественное право приобретения размещаемых дополнительных акций в количестве, пропорциональном количеству принадлежащих им обыкновенных акций. Если в результате определения количества размещаемых дополнительных акций, в пределах которого лицом, имеющим преимущественное право приобретения акций, может быть осуществлено такое преимущественное право, образуется дробное число, такое лицо вправе приобрести часть размещаемой дополнительной акции (дробную акцию), соответствующую дробной части образовавшегося числа. </w:t>
      </w:r>
    </w:p>
    <w:p w:rsidR="00452AC4" w:rsidRPr="00452AC4" w:rsidRDefault="00452AC4" w:rsidP="004D1AD4">
      <w:pPr>
        <w:pStyle w:val="a4"/>
        <w:jc w:val="both"/>
        <w:rPr>
          <w:rFonts w:eastAsia="Calibri"/>
        </w:rPr>
      </w:pPr>
      <w:r w:rsidRPr="00452AC4">
        <w:rPr>
          <w:rFonts w:eastAsia="Calibri"/>
        </w:rPr>
        <w:t xml:space="preserve">Срок действия преимущественного права приобретения размещаемых ценных бумаг составляет 45 (Сорок пять) дней с момента уведомления акционеров о возможности осуществления преимущественного права приобретения размещаемых ценных бумаг в порядке, предусмотренном </w:t>
      </w:r>
      <w:r w:rsidR="004D1AD4">
        <w:rPr>
          <w:rFonts w:eastAsia="Calibri"/>
        </w:rPr>
        <w:t xml:space="preserve">в </w:t>
      </w:r>
      <w:r w:rsidR="004D1AD4" w:rsidRPr="00452AC4">
        <w:rPr>
          <w:rFonts w:asciiTheme="minorHAnsi" w:eastAsia="Calibri" w:hAnsiTheme="minorHAnsi" w:cstheme="minorHAnsi"/>
        </w:rPr>
        <w:t>зарегистрированном Документе, содержащим условия размещения ценных бумаг</w:t>
      </w:r>
      <w:r w:rsidRPr="00452AC4">
        <w:rPr>
          <w:rFonts w:eastAsia="Calibri"/>
        </w:rPr>
        <w:t xml:space="preserve">. </w:t>
      </w:r>
    </w:p>
    <w:p w:rsidR="00452AC4" w:rsidRPr="00452AC4" w:rsidRDefault="00452AC4" w:rsidP="004D1AD4">
      <w:pPr>
        <w:pStyle w:val="a4"/>
        <w:jc w:val="both"/>
        <w:rPr>
          <w:rFonts w:eastAsia="Calibri"/>
        </w:rPr>
      </w:pPr>
      <w:r w:rsidRPr="00452AC4">
        <w:rPr>
          <w:rFonts w:eastAsia="Calibri"/>
        </w:rPr>
        <w:t xml:space="preserve">Договор купли-продажи акций между Эмитентом и лицом, имеющим преимущественное право приобретения размещаемых ценных бумаг, считается заключенным в наиболее позднюю из следующих дат: а) дата получения Эмитентом заявления соответствующего лица, отвечающего требованиям законодательства и </w:t>
      </w:r>
      <w:r w:rsidR="004D1AD4" w:rsidRPr="00452AC4">
        <w:rPr>
          <w:rFonts w:eastAsia="Calibri"/>
        </w:rPr>
        <w:t>зарегистрированн</w:t>
      </w:r>
      <w:r w:rsidR="004D1AD4">
        <w:rPr>
          <w:rFonts w:eastAsia="Calibri"/>
        </w:rPr>
        <w:t>ого</w:t>
      </w:r>
      <w:r w:rsidR="004D1AD4" w:rsidRPr="00452AC4">
        <w:rPr>
          <w:rFonts w:eastAsia="Calibri"/>
        </w:rPr>
        <w:t xml:space="preserve"> Документ</w:t>
      </w:r>
      <w:r w:rsidR="004D1AD4">
        <w:rPr>
          <w:rFonts w:eastAsia="Calibri"/>
        </w:rPr>
        <w:t>а</w:t>
      </w:r>
      <w:r w:rsidR="004D1AD4" w:rsidRPr="00452AC4">
        <w:rPr>
          <w:rFonts w:eastAsia="Calibri"/>
        </w:rPr>
        <w:t>, содержащ</w:t>
      </w:r>
      <w:r w:rsidR="004D1AD4">
        <w:rPr>
          <w:rFonts w:eastAsia="Calibri"/>
        </w:rPr>
        <w:t>его</w:t>
      </w:r>
      <w:r w:rsidR="004D1AD4" w:rsidRPr="00452AC4">
        <w:rPr>
          <w:rFonts w:eastAsia="Calibri"/>
        </w:rPr>
        <w:t xml:space="preserve"> условия размещения ценных бумаг</w:t>
      </w:r>
      <w:r w:rsidRPr="00452AC4">
        <w:rPr>
          <w:rFonts w:eastAsia="Calibri"/>
        </w:rPr>
        <w:t xml:space="preserve">; б) дата поступления денежных средств от соответствующего лица в оплату акций на счет Эмитента в соответствии с </w:t>
      </w:r>
      <w:r w:rsidR="004D1AD4" w:rsidRPr="00452AC4">
        <w:rPr>
          <w:rFonts w:eastAsia="Calibri"/>
        </w:rPr>
        <w:t>зарегистрированн</w:t>
      </w:r>
      <w:r w:rsidR="004D1AD4">
        <w:rPr>
          <w:rFonts w:eastAsia="Calibri"/>
        </w:rPr>
        <w:t>ы</w:t>
      </w:r>
      <w:r w:rsidR="004D1AD4" w:rsidRPr="00452AC4">
        <w:rPr>
          <w:rFonts w:eastAsia="Calibri"/>
        </w:rPr>
        <w:t>м Документ</w:t>
      </w:r>
      <w:r w:rsidR="004D1AD4">
        <w:rPr>
          <w:rFonts w:eastAsia="Calibri"/>
        </w:rPr>
        <w:t>ом</w:t>
      </w:r>
      <w:r w:rsidR="004D1AD4" w:rsidRPr="00452AC4">
        <w:rPr>
          <w:rFonts w:eastAsia="Calibri"/>
        </w:rPr>
        <w:t>, содержащим условия размещения ценных бумаг</w:t>
      </w:r>
      <w:r w:rsidR="004D1AD4" w:rsidRPr="00452AC4">
        <w:rPr>
          <w:rFonts w:eastAsia="Calibri"/>
        </w:rPr>
        <w:t xml:space="preserve"> </w:t>
      </w:r>
      <w:r w:rsidRPr="00452AC4">
        <w:rPr>
          <w:rFonts w:eastAsia="Calibri"/>
        </w:rPr>
        <w:t>в размере, соответствующем условиям</w:t>
      </w:r>
      <w:r w:rsidR="004D1AD4">
        <w:rPr>
          <w:rFonts w:eastAsia="Calibri"/>
        </w:rPr>
        <w:t xml:space="preserve">, указанным в </w:t>
      </w:r>
      <w:r w:rsidR="004D1AD4" w:rsidRPr="00452AC4">
        <w:rPr>
          <w:rFonts w:eastAsia="Calibri"/>
        </w:rPr>
        <w:t>зарегистрированном Документе, содержащим условия размещения ценных бумаг</w:t>
      </w:r>
      <w:r w:rsidRPr="00452AC4">
        <w:rPr>
          <w:rFonts w:eastAsia="Calibri"/>
        </w:rPr>
        <w:t>.</w:t>
      </w:r>
    </w:p>
    <w:p w:rsidR="00452AC4" w:rsidRPr="00452AC4" w:rsidRDefault="00452AC4" w:rsidP="004D1AD4">
      <w:pPr>
        <w:pStyle w:val="a4"/>
        <w:jc w:val="both"/>
        <w:rPr>
          <w:rFonts w:eastAsia="Calibri"/>
        </w:rPr>
      </w:pPr>
      <w:r w:rsidRPr="00452AC4">
        <w:rPr>
          <w:rFonts w:eastAsia="Calibri"/>
        </w:rPr>
        <w:t>Если заявления о приобретении ценных бумаг поступают до даты начала размещения ценных бумаг и оплата таких ценных бумаг осуществляется до даты начала размещения ценных бумаг, договоры, на основании которых осуществляется размещение ценных бумаг, считаются заключенными в дату начала размещения ценных бумаг.</w:t>
      </w:r>
    </w:p>
    <w:p w:rsidR="00452AC4" w:rsidRPr="00452AC4" w:rsidRDefault="00452AC4" w:rsidP="004D1AD4">
      <w:pPr>
        <w:pStyle w:val="a4"/>
        <w:jc w:val="both"/>
        <w:rPr>
          <w:rFonts w:eastAsia="Calibri"/>
        </w:rPr>
      </w:pPr>
      <w:r w:rsidRPr="00452AC4">
        <w:rPr>
          <w:rFonts w:eastAsia="Calibri"/>
        </w:rPr>
        <w:t xml:space="preserve">Срок рассмотрения заявлений о приобретении размещаемых ценных бумаг в порядке осуществления преимущественного права, основания для отказа в удовлетворении заявлений, способ и срок направления уведомлений (сообщений) об удовлетворении (об отказе в удовлетворении) заявлений: Заявление о приобретении размещаемых ценных бумаг лицом, имеющим преимущественное право приобретения размещаемых ценных бумаг, рассматривается Эмитентом в день поступления Заявления. В день поступления Заявления Эмитент уведомляет лицо, направившее такое Заявление, об его удовлетворении или отказе в его удовлетворении путем направления лицу заказного письма по адресу, указанному в реестре владельцев именных ценных бумаг Эмитента, с указанием причин, по которым реализация преимущественного права не возможна, а также, если заявление подано в течение срока действия преимущественного права приобретения размещаемых ценных бумаг, указание на то, что при устранении причин, лицо, имеющее преимущественное право приобретения размещения ценных бумаг, имеет право подать Заявление повторно до истечения срока действия преимущественного права. </w:t>
      </w:r>
    </w:p>
    <w:p w:rsidR="00452AC4" w:rsidRPr="00452AC4" w:rsidRDefault="00452AC4" w:rsidP="004D1AD4">
      <w:pPr>
        <w:pStyle w:val="a4"/>
        <w:jc w:val="both"/>
        <w:rPr>
          <w:rFonts w:eastAsia="Calibri"/>
        </w:rPr>
      </w:pPr>
      <w:r w:rsidRPr="00452AC4">
        <w:rPr>
          <w:rFonts w:eastAsia="Calibri"/>
        </w:rPr>
        <w:t>Основания для отказа в удовлетворении Заявлений:</w:t>
      </w:r>
    </w:p>
    <w:p w:rsidR="00452AC4" w:rsidRPr="00452AC4" w:rsidRDefault="00452AC4" w:rsidP="004D1AD4">
      <w:pPr>
        <w:pStyle w:val="a4"/>
        <w:numPr>
          <w:ilvl w:val="0"/>
          <w:numId w:val="5"/>
        </w:numPr>
        <w:jc w:val="both"/>
        <w:rPr>
          <w:rFonts w:eastAsia="Calibri"/>
        </w:rPr>
      </w:pPr>
      <w:r w:rsidRPr="00452AC4">
        <w:rPr>
          <w:rFonts w:eastAsia="Calibri"/>
        </w:rPr>
        <w:t>Заявление подано позже окончания срока действия преимущественного права приобретения размещаемых ценных бумаг.</w:t>
      </w:r>
    </w:p>
    <w:p w:rsidR="00452AC4" w:rsidRPr="00452AC4" w:rsidRDefault="00452AC4" w:rsidP="004D1AD4">
      <w:pPr>
        <w:pStyle w:val="a4"/>
        <w:numPr>
          <w:ilvl w:val="0"/>
          <w:numId w:val="5"/>
        </w:numPr>
        <w:jc w:val="both"/>
        <w:rPr>
          <w:rFonts w:eastAsia="Calibri"/>
        </w:rPr>
      </w:pPr>
      <w:r w:rsidRPr="00452AC4">
        <w:rPr>
          <w:rFonts w:eastAsia="Calibri"/>
        </w:rPr>
        <w:t>Заявление не содержит сведения, позволяющие идентифицировать подавшее его лицо и количество приобретаемых им ценных бумаг.</w:t>
      </w:r>
    </w:p>
    <w:p w:rsidR="00452AC4" w:rsidRPr="00452AC4" w:rsidRDefault="00452AC4" w:rsidP="004D1AD4">
      <w:pPr>
        <w:pStyle w:val="a4"/>
        <w:jc w:val="both"/>
        <w:rPr>
          <w:rFonts w:eastAsia="Calibri"/>
        </w:rPr>
      </w:pPr>
      <w:r w:rsidRPr="00452AC4">
        <w:rPr>
          <w:rFonts w:eastAsia="Calibri"/>
        </w:rPr>
        <w:lastRenderedPageBreak/>
        <w:t xml:space="preserve">В случае отказа в удовлетворении заявления о приобретении размещаемых ценных бумаг в порядке осуществления преимущественного права, если заявление подано в течение срока действия преимущественного права приобретения размещаемых ценных бумаг, лицо вправе в течение срока действия преимущественного права направить указанное заявление повторно. </w:t>
      </w:r>
    </w:p>
    <w:p w:rsidR="00452AC4" w:rsidRPr="00452AC4" w:rsidRDefault="00452AC4" w:rsidP="004D1AD4">
      <w:pPr>
        <w:pStyle w:val="a4"/>
        <w:jc w:val="both"/>
        <w:rPr>
          <w:rFonts w:eastAsia="Calibri"/>
        </w:rPr>
      </w:pPr>
      <w:r w:rsidRPr="00452AC4">
        <w:rPr>
          <w:rFonts w:eastAsia="Calibri"/>
        </w:rPr>
        <w:t xml:space="preserve">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 </w:t>
      </w:r>
    </w:p>
    <w:p w:rsidR="004D1AD4" w:rsidRDefault="004D1AD4" w:rsidP="00452AC4">
      <w:pPr>
        <w:pStyle w:val="a4"/>
        <w:jc w:val="both"/>
        <w:rPr>
          <w:rFonts w:asciiTheme="minorHAnsi" w:eastAsia="Calibri" w:hAnsiTheme="minorHAnsi" w:cstheme="minorHAnsi"/>
          <w:b/>
        </w:rPr>
      </w:pPr>
    </w:p>
    <w:p w:rsidR="00DC3636" w:rsidRPr="00452AC4" w:rsidRDefault="00DC3636" w:rsidP="00452AC4">
      <w:pPr>
        <w:pStyle w:val="a4"/>
        <w:jc w:val="both"/>
        <w:rPr>
          <w:rFonts w:asciiTheme="minorHAnsi" w:eastAsia="Calibri" w:hAnsiTheme="minorHAnsi" w:cstheme="minorHAnsi"/>
          <w:b/>
        </w:rPr>
      </w:pPr>
      <w:r w:rsidRPr="00452AC4">
        <w:rPr>
          <w:rFonts w:asciiTheme="minorHAnsi" w:eastAsia="Calibri" w:hAnsiTheme="minorHAnsi" w:cstheme="minorHAnsi"/>
          <w:b/>
        </w:rPr>
        <w:t xml:space="preserve">Порядок подведения итогов осуществления преимущественного права приобретения размещаемых ценных бумаг: </w:t>
      </w:r>
    </w:p>
    <w:p w:rsidR="00DC3636" w:rsidRPr="00452AC4" w:rsidRDefault="00452AC4" w:rsidP="00452AC4">
      <w:pPr>
        <w:pStyle w:val="a4"/>
        <w:jc w:val="both"/>
        <w:rPr>
          <w:rStyle w:val="a5"/>
          <w:rFonts w:asciiTheme="minorHAnsi" w:hAnsiTheme="minorHAnsi" w:cstheme="minorHAnsi"/>
          <w:color w:val="auto"/>
          <w:shd w:val="clear" w:color="auto" w:fill="FFFFFF"/>
        </w:rPr>
      </w:pPr>
      <w:r w:rsidRPr="00452AC4">
        <w:rPr>
          <w:rFonts w:asciiTheme="minorHAnsi" w:eastAsia="Calibri" w:hAnsiTheme="minorHAnsi" w:cstheme="minorHAnsi"/>
        </w:rPr>
        <w:t>Эмитент в течение 5 (Пяти) дней с даты истечения срока действия преимущественного права обязан подвести итоги осуществления преимущественного права и разместить итоги в день их подведения в сети Интернет на сайте Эмитента по адресу:</w:t>
      </w:r>
      <w:r w:rsidRPr="00452AC4">
        <w:rPr>
          <w:rFonts w:asciiTheme="minorHAnsi" w:hAnsiTheme="minorHAnsi" w:cstheme="minorHAnsi"/>
          <w:shd w:val="clear" w:color="auto" w:fill="FFFFFF"/>
        </w:rPr>
        <w:t xml:space="preserve"> </w:t>
      </w:r>
      <w:hyperlink r:id="rId7" w:history="1">
        <w:r w:rsidRPr="00452AC4">
          <w:rPr>
            <w:rStyle w:val="a5"/>
            <w:rFonts w:asciiTheme="minorHAnsi" w:hAnsiTheme="minorHAnsi" w:cstheme="minorHAnsi"/>
            <w:shd w:val="clear" w:color="auto" w:fill="FFFFFF"/>
          </w:rPr>
          <w:t>http://www.</w:t>
        </w:r>
        <w:r w:rsidRPr="00452AC4">
          <w:rPr>
            <w:rStyle w:val="a5"/>
            <w:rFonts w:asciiTheme="minorHAnsi" w:hAnsiTheme="minorHAnsi" w:cstheme="minorHAnsi"/>
            <w:shd w:val="clear" w:color="auto" w:fill="FFFFFF"/>
            <w:lang w:val="en-US"/>
          </w:rPr>
          <w:t>tumbotino</w:t>
        </w:r>
        <w:r w:rsidRPr="00452AC4">
          <w:rPr>
            <w:rStyle w:val="a5"/>
            <w:rFonts w:asciiTheme="minorHAnsi" w:hAnsiTheme="minorHAnsi" w:cstheme="minorHAnsi"/>
            <w:shd w:val="clear" w:color="auto" w:fill="FFFFFF"/>
          </w:rPr>
          <w:t>.ru/</w:t>
        </w:r>
      </w:hyperlink>
    </w:p>
    <w:p w:rsidR="00452AC4" w:rsidRPr="00452AC4" w:rsidRDefault="00452AC4" w:rsidP="00452AC4">
      <w:pPr>
        <w:pStyle w:val="a4"/>
        <w:jc w:val="both"/>
        <w:rPr>
          <w:rFonts w:asciiTheme="minorHAnsi" w:hAnsiTheme="minorHAnsi" w:cstheme="minorHAnsi"/>
          <w:shd w:val="clear" w:color="auto" w:fill="FFFFFF"/>
        </w:rPr>
      </w:pPr>
    </w:p>
    <w:p w:rsidR="00DC3636" w:rsidRPr="00452AC4" w:rsidRDefault="00DC3636" w:rsidP="00452AC4">
      <w:pPr>
        <w:pStyle w:val="a4"/>
        <w:jc w:val="both"/>
        <w:rPr>
          <w:rFonts w:asciiTheme="minorHAnsi" w:eastAsia="Calibri" w:hAnsiTheme="minorHAnsi" w:cstheme="minorHAnsi"/>
          <w:b/>
        </w:rPr>
      </w:pPr>
      <w:r w:rsidRPr="00452AC4">
        <w:rPr>
          <w:rFonts w:asciiTheme="minorHAnsi" w:eastAsia="Calibri" w:hAnsiTheme="minorHAnsi" w:cstheme="minorHAnsi"/>
          <w:b/>
        </w:rPr>
        <w:t>Порядок и срок раскрытия информации об итогах осуществления преимущественного права приобретения размещаемых ценных бумаг:</w:t>
      </w:r>
    </w:p>
    <w:p w:rsidR="00DC3636" w:rsidRPr="00452AC4" w:rsidRDefault="00452AC4" w:rsidP="00452AC4">
      <w:pPr>
        <w:pStyle w:val="a4"/>
        <w:jc w:val="both"/>
        <w:rPr>
          <w:rFonts w:asciiTheme="minorHAnsi" w:eastAsia="Calibri" w:hAnsiTheme="minorHAnsi" w:cstheme="minorHAnsi"/>
        </w:rPr>
      </w:pPr>
      <w:r w:rsidRPr="00452AC4">
        <w:rPr>
          <w:rFonts w:asciiTheme="minorHAnsi" w:eastAsia="Calibri" w:hAnsiTheme="minorHAnsi" w:cstheme="minorHAnsi"/>
        </w:rPr>
        <w:t>С</w:t>
      </w:r>
      <w:r w:rsidRPr="00452AC4">
        <w:rPr>
          <w:rFonts w:asciiTheme="minorHAnsi" w:eastAsia="Calibri" w:hAnsiTheme="minorHAnsi" w:cstheme="minorHAnsi"/>
        </w:rPr>
        <w:t xml:space="preserve">о списком лиц, осуществивших свое преимущественное право, можно ознакомиться в сети Интернет на сайте Эмитента по адресу: </w:t>
      </w:r>
      <w:hyperlink r:id="rId8" w:history="1">
        <w:r w:rsidRPr="00452AC4">
          <w:rPr>
            <w:rStyle w:val="a5"/>
            <w:rFonts w:asciiTheme="minorHAnsi" w:hAnsiTheme="minorHAnsi" w:cstheme="minorHAnsi"/>
            <w:shd w:val="clear" w:color="auto" w:fill="FFFFFF"/>
          </w:rPr>
          <w:t>http://www.</w:t>
        </w:r>
        <w:r w:rsidRPr="00452AC4">
          <w:rPr>
            <w:rStyle w:val="a5"/>
            <w:rFonts w:asciiTheme="minorHAnsi" w:hAnsiTheme="minorHAnsi" w:cstheme="minorHAnsi"/>
            <w:shd w:val="clear" w:color="auto" w:fill="FFFFFF"/>
            <w:lang w:val="en-US"/>
          </w:rPr>
          <w:t>tumbotino</w:t>
        </w:r>
        <w:r w:rsidRPr="00452AC4">
          <w:rPr>
            <w:rStyle w:val="a5"/>
            <w:rFonts w:asciiTheme="minorHAnsi" w:hAnsiTheme="minorHAnsi" w:cstheme="minorHAnsi"/>
            <w:shd w:val="clear" w:color="auto" w:fill="FFFFFF"/>
          </w:rPr>
          <w:t>.ru/</w:t>
        </w:r>
      </w:hyperlink>
      <w:r w:rsidRPr="00452AC4">
        <w:rPr>
          <w:rFonts w:asciiTheme="minorHAnsi" w:eastAsia="Calibri" w:hAnsiTheme="minorHAnsi" w:cstheme="minorHAnsi"/>
        </w:rPr>
        <w:t>. Срок раскрытия - в течение 5 (Пяти) дней с даты истечения срока действия преимущественного права</w:t>
      </w:r>
      <w:r w:rsidRPr="00452AC4">
        <w:rPr>
          <w:rFonts w:asciiTheme="minorHAnsi" w:eastAsia="Calibri" w:hAnsiTheme="minorHAnsi" w:cstheme="minorHAnsi"/>
        </w:rPr>
        <w:t>.</w:t>
      </w:r>
    </w:p>
    <w:p w:rsidR="00DC3636" w:rsidRPr="00452AC4" w:rsidRDefault="00DC3636" w:rsidP="00452AC4">
      <w:pPr>
        <w:pStyle w:val="a4"/>
        <w:jc w:val="both"/>
        <w:rPr>
          <w:rFonts w:asciiTheme="minorHAnsi" w:eastAsia="Calibri" w:hAnsiTheme="minorHAnsi" w:cstheme="minorHAnsi"/>
        </w:rPr>
      </w:pPr>
    </w:p>
    <w:p w:rsidR="00DC3636" w:rsidRPr="00452AC4" w:rsidRDefault="00DC3636" w:rsidP="00452AC4">
      <w:pPr>
        <w:pStyle w:val="a4"/>
        <w:jc w:val="both"/>
        <w:rPr>
          <w:rFonts w:asciiTheme="minorHAnsi" w:eastAsia="Calibri" w:hAnsiTheme="minorHAnsi" w:cstheme="minorHAnsi"/>
          <w:b/>
        </w:rPr>
      </w:pPr>
      <w:r w:rsidRPr="00452AC4">
        <w:rPr>
          <w:rFonts w:asciiTheme="minorHAnsi" w:eastAsia="Calibri" w:hAnsiTheme="minorHAnsi" w:cstheme="minorHAnsi"/>
          <w:b/>
        </w:rPr>
        <w:t xml:space="preserve">Условия и порядок оплаты ценных бумаг: </w:t>
      </w:r>
    </w:p>
    <w:p w:rsidR="00452AC4" w:rsidRPr="00452AC4" w:rsidRDefault="00452AC4" w:rsidP="00452AC4">
      <w:pPr>
        <w:spacing w:after="200" w:line="240" w:lineRule="auto"/>
        <w:contextualSpacing/>
        <w:jc w:val="both"/>
        <w:rPr>
          <w:rFonts w:eastAsia="Calibri" w:cstheme="minorHAnsi"/>
        </w:rPr>
      </w:pPr>
      <w:r w:rsidRPr="00452AC4">
        <w:rPr>
          <w:rFonts w:eastAsia="Calibri" w:cstheme="minorHAnsi"/>
        </w:rPr>
        <w:t xml:space="preserve">Способ оплаты размещаемых акций - </w:t>
      </w:r>
      <w:r w:rsidRPr="00452AC4">
        <w:rPr>
          <w:rFonts w:cstheme="minorHAnsi"/>
        </w:rPr>
        <w:t>денежные средства в валюте Российской Федерации</w:t>
      </w:r>
      <w:r w:rsidRPr="00452AC4">
        <w:rPr>
          <w:rFonts w:eastAsia="Calibri" w:cstheme="minorHAnsi"/>
        </w:rPr>
        <w:t xml:space="preserve">. </w:t>
      </w:r>
    </w:p>
    <w:p w:rsidR="00452AC4" w:rsidRPr="00452AC4" w:rsidRDefault="00452AC4" w:rsidP="00452AC4">
      <w:pPr>
        <w:spacing w:after="0" w:line="240" w:lineRule="auto"/>
        <w:contextualSpacing/>
        <w:jc w:val="both"/>
        <w:rPr>
          <w:rFonts w:eastAsia="Times New Roman" w:cstheme="minorHAnsi"/>
          <w:lang w:eastAsia="ru-RU"/>
        </w:rPr>
      </w:pPr>
      <w:r w:rsidRPr="00452AC4">
        <w:rPr>
          <w:rFonts w:eastAsia="Times New Roman" w:cstheme="minorHAnsi"/>
          <w:lang w:eastAsia="ru-RU"/>
        </w:rPr>
        <w:t xml:space="preserve">Форма расчетов – безналичная. </w:t>
      </w:r>
      <w:r w:rsidRPr="00452AC4">
        <w:rPr>
          <w:rFonts w:eastAsia="Times New Roman" w:cstheme="minorHAnsi"/>
          <w:lang w:eastAsia="ru-RU"/>
        </w:rPr>
        <w:t>Полное фирменное наименование кредитной организации:</w:t>
      </w:r>
      <w:r w:rsidRPr="00452AC4">
        <w:rPr>
          <w:rFonts w:cstheme="minorHAnsi"/>
          <w:shd w:val="clear" w:color="auto" w:fill="FFFFFF" w:themeFill="background1"/>
        </w:rPr>
        <w:t xml:space="preserve"> БАНК ВТБ (ПУБЛИЧНОЕ АКЦИОНЕРНОЕ ОБЩЕСТВО)</w:t>
      </w:r>
      <w:r w:rsidRPr="00452AC4">
        <w:rPr>
          <w:rFonts w:cstheme="minorHAnsi"/>
        </w:rPr>
        <w:t xml:space="preserve">. </w:t>
      </w:r>
      <w:r w:rsidRPr="00452AC4">
        <w:rPr>
          <w:rFonts w:eastAsia="Calibri" w:cstheme="minorHAnsi"/>
        </w:rPr>
        <w:t xml:space="preserve">Место нахождение: </w:t>
      </w:r>
      <w:r w:rsidRPr="00452AC4">
        <w:rPr>
          <w:rFonts w:cstheme="minorHAnsi"/>
          <w:shd w:val="clear" w:color="auto" w:fill="FFFFFF"/>
        </w:rPr>
        <w:t>г. Санкт-Петербург</w:t>
      </w:r>
      <w:r w:rsidRPr="00452AC4">
        <w:rPr>
          <w:rFonts w:cstheme="minorHAnsi"/>
        </w:rPr>
        <w:t xml:space="preserve">. </w:t>
      </w:r>
      <w:r w:rsidRPr="00452AC4">
        <w:rPr>
          <w:rFonts w:eastAsia="Calibri" w:cstheme="minorHAnsi"/>
        </w:rPr>
        <w:t xml:space="preserve">Банковские реквизиты счета Эмитента, на который должны перечисляться денежные средства, поступающие в оплату ценных бумаг: р/сч </w:t>
      </w:r>
      <w:r w:rsidRPr="00452AC4">
        <w:rPr>
          <w:rFonts w:cstheme="minorHAnsi"/>
          <w:shd w:val="clear" w:color="auto" w:fill="FFFFFF"/>
        </w:rPr>
        <w:t>40702810930240000839</w:t>
      </w:r>
      <w:r w:rsidRPr="00452AC4">
        <w:rPr>
          <w:rFonts w:eastAsia="Calibri" w:cstheme="minorHAnsi"/>
        </w:rPr>
        <w:t xml:space="preserve">, кор/сч.  </w:t>
      </w:r>
      <w:r w:rsidRPr="00452AC4">
        <w:rPr>
          <w:rFonts w:cstheme="minorHAnsi"/>
          <w:shd w:val="clear" w:color="auto" w:fill="FFFFFF"/>
        </w:rPr>
        <w:t>30101810145250000411</w:t>
      </w:r>
      <w:r w:rsidRPr="00452AC4">
        <w:rPr>
          <w:rFonts w:eastAsia="Calibri" w:cstheme="minorHAnsi"/>
        </w:rPr>
        <w:t xml:space="preserve">, БИК </w:t>
      </w:r>
      <w:r w:rsidRPr="00452AC4">
        <w:rPr>
          <w:rFonts w:cstheme="minorHAnsi"/>
          <w:shd w:val="clear" w:color="auto" w:fill="FFFFFF"/>
        </w:rPr>
        <w:t>044525411</w:t>
      </w:r>
      <w:r w:rsidRPr="00452AC4">
        <w:rPr>
          <w:rFonts w:eastAsia="Calibri" w:cstheme="minorHAnsi"/>
        </w:rPr>
        <w:t>.</w:t>
      </w:r>
      <w:r>
        <w:rPr>
          <w:rFonts w:eastAsia="Calibri" w:cstheme="minorHAnsi"/>
        </w:rPr>
        <w:t xml:space="preserve"> </w:t>
      </w:r>
      <w:r w:rsidRPr="00452AC4">
        <w:rPr>
          <w:rFonts w:eastAsia="Times New Roman" w:cstheme="minorHAnsi"/>
          <w:lang w:eastAsia="ru-RU"/>
        </w:rPr>
        <w:t xml:space="preserve">Полное или сокращенное наименование получателя денежных средств и его идентификационный номер налогоплательщика: полное наименование - </w:t>
      </w:r>
      <w:r w:rsidRPr="00452AC4">
        <w:rPr>
          <w:rFonts w:cstheme="minorHAnsi"/>
        </w:rPr>
        <w:t>Публичное акционерное общество «</w:t>
      </w:r>
      <w:r w:rsidRPr="00452AC4">
        <w:rPr>
          <w:rFonts w:cstheme="minorHAnsi"/>
          <w:bCs/>
        </w:rPr>
        <w:t>Медико-инструментальный завод им. М. Горького</w:t>
      </w:r>
      <w:r w:rsidRPr="00452AC4">
        <w:rPr>
          <w:rFonts w:cstheme="minorHAnsi"/>
        </w:rPr>
        <w:t xml:space="preserve">», ИНН </w:t>
      </w:r>
      <w:r w:rsidRPr="00452AC4">
        <w:rPr>
          <w:rFonts w:cstheme="minorHAnsi"/>
          <w:shd w:val="clear" w:color="auto" w:fill="FFFFFF"/>
        </w:rPr>
        <w:t>5252000488</w:t>
      </w:r>
      <w:r w:rsidRPr="00452AC4">
        <w:rPr>
          <w:rFonts w:eastAsia="TimesNewRomanPSMT" w:cstheme="minorHAnsi"/>
        </w:rPr>
        <w:t>.</w:t>
      </w:r>
      <w:r w:rsidRPr="00452AC4">
        <w:rPr>
          <w:rFonts w:eastAsia="TimesNewRomanPSMT" w:cstheme="minorHAnsi"/>
        </w:rPr>
        <w:t xml:space="preserve"> </w:t>
      </w:r>
      <w:r w:rsidRPr="00452AC4">
        <w:rPr>
          <w:rFonts w:eastAsia="Times New Roman" w:cstheme="minorHAnsi"/>
          <w:lang w:eastAsia="ru-RU"/>
        </w:rPr>
        <w:t>Наличная форма оплаты за ценные бумаги не предусмотрена.</w:t>
      </w:r>
      <w:r w:rsidRPr="00452AC4">
        <w:rPr>
          <w:rFonts w:eastAsia="Times New Roman" w:cstheme="minorHAnsi"/>
          <w:lang w:eastAsia="ru-RU"/>
        </w:rPr>
        <w:t xml:space="preserve"> </w:t>
      </w:r>
      <w:r w:rsidRPr="00452AC4">
        <w:rPr>
          <w:rFonts w:eastAsia="Calibri" w:cstheme="minorHAnsi"/>
        </w:rPr>
        <w:t>Оплата ценных бумаг неденежными средствами не пред</w:t>
      </w:r>
      <w:r w:rsidRPr="00452AC4">
        <w:rPr>
          <w:rFonts w:eastAsia="Calibri" w:cstheme="minorHAnsi"/>
        </w:rPr>
        <w:t xml:space="preserve">усмотрена условиями размещения. </w:t>
      </w:r>
      <w:r w:rsidRPr="00452AC4">
        <w:rPr>
          <w:rFonts w:eastAsia="Calibri" w:cstheme="minorHAnsi"/>
        </w:rPr>
        <w:t>Оплата дополнительных акций, размещаемых посредством закрытой подписки, путем зачета денежных требований к акционерному обществу - не предусмотрена условиями размещения.</w:t>
      </w:r>
    </w:p>
    <w:p w:rsidR="00DC3636" w:rsidRPr="00452AC4" w:rsidRDefault="00DC3636" w:rsidP="00452AC4">
      <w:pPr>
        <w:pStyle w:val="a4"/>
        <w:jc w:val="both"/>
        <w:rPr>
          <w:rFonts w:asciiTheme="minorHAnsi" w:eastAsia="Calibri" w:hAnsiTheme="minorHAnsi" w:cstheme="minorHAnsi"/>
          <w:b/>
        </w:rPr>
      </w:pPr>
    </w:p>
    <w:p w:rsidR="00DC3636" w:rsidRPr="00452AC4" w:rsidRDefault="00DC3636" w:rsidP="00452AC4">
      <w:pPr>
        <w:pStyle w:val="a4"/>
        <w:jc w:val="both"/>
        <w:rPr>
          <w:rFonts w:asciiTheme="minorHAnsi" w:eastAsia="Calibri" w:hAnsiTheme="minorHAnsi" w:cstheme="minorHAnsi"/>
          <w:b/>
        </w:rPr>
      </w:pPr>
      <w:r w:rsidRPr="00452AC4">
        <w:rPr>
          <w:rFonts w:asciiTheme="minorHAnsi" w:eastAsia="Calibri" w:hAnsiTheme="minorHAnsi" w:cstheme="minorHAnsi"/>
          <w:b/>
        </w:rPr>
        <w:t xml:space="preserve">Срок оплаты размещаемых ценных бумаг: </w:t>
      </w:r>
    </w:p>
    <w:p w:rsidR="00452AC4" w:rsidRPr="00452AC4" w:rsidRDefault="00452AC4" w:rsidP="00452AC4">
      <w:pPr>
        <w:spacing w:after="200" w:line="240" w:lineRule="auto"/>
        <w:contextualSpacing/>
        <w:jc w:val="both"/>
        <w:rPr>
          <w:rFonts w:eastAsia="Calibri" w:cstheme="minorHAnsi"/>
        </w:rPr>
      </w:pPr>
      <w:r w:rsidRPr="00452AC4">
        <w:rPr>
          <w:rFonts w:eastAsia="Calibri" w:cstheme="minorHAnsi"/>
        </w:rPr>
        <w:t xml:space="preserve">Срок оплаты размещаемых ценных бумаг: акции оплачиваются после заключения Договора, но не позднее, чем за 3 (Три) рабочих дня до истечения срока размещения ценных бумаг, установленного </w:t>
      </w:r>
      <w:r w:rsidR="004D1AD4">
        <w:rPr>
          <w:rFonts w:eastAsia="Calibri" w:cstheme="minorHAnsi"/>
        </w:rPr>
        <w:t xml:space="preserve">в </w:t>
      </w:r>
      <w:r w:rsidR="004D1AD4" w:rsidRPr="00452AC4">
        <w:rPr>
          <w:rFonts w:eastAsia="Calibri" w:cstheme="minorHAnsi"/>
        </w:rPr>
        <w:t>зарегистрированном Документе, содержащим условия размещения ценных бумаг</w:t>
      </w:r>
      <w:r w:rsidRPr="00452AC4">
        <w:rPr>
          <w:rFonts w:eastAsia="Calibri" w:cstheme="minorHAnsi"/>
        </w:rPr>
        <w:t xml:space="preserve">. Срок оплаты ценных бумаг для лиц, имеющих преимущественное право приобретения размещаемых ценных бумаг - лица, имеющие преимущественное право приобретения размещаемых ценных бумаг, оплачивают ценные бумаги в любой день в течение всего срока действия преимущественного права приобретения размещаемых ценных бумаг.  </w:t>
      </w:r>
    </w:p>
    <w:p w:rsidR="00DC3636" w:rsidRPr="00452AC4" w:rsidRDefault="00DC3636" w:rsidP="00452AC4">
      <w:pPr>
        <w:pStyle w:val="a4"/>
        <w:jc w:val="both"/>
        <w:rPr>
          <w:rFonts w:asciiTheme="minorHAnsi" w:hAnsiTheme="minorHAnsi" w:cstheme="minorHAnsi"/>
        </w:rPr>
      </w:pPr>
    </w:p>
    <w:p w:rsidR="00DC3636" w:rsidRPr="00452AC4" w:rsidRDefault="00452AC4" w:rsidP="00452AC4">
      <w:pPr>
        <w:pStyle w:val="a4"/>
        <w:jc w:val="both"/>
        <w:rPr>
          <w:rFonts w:asciiTheme="minorHAnsi" w:hAnsiTheme="minorHAnsi" w:cstheme="minorHAnsi"/>
          <w:b/>
        </w:rPr>
      </w:pPr>
      <w:r>
        <w:rPr>
          <w:rFonts w:asciiTheme="minorHAnsi" w:hAnsiTheme="minorHAnsi" w:cstheme="minorHAnsi"/>
          <w:b/>
        </w:rPr>
        <w:t>Генеральный директор ПАО «МИЗ им. М. Горького»</w:t>
      </w:r>
    </w:p>
    <w:p w:rsidR="00DC3636" w:rsidRPr="00452AC4" w:rsidRDefault="00452AC4" w:rsidP="00452AC4">
      <w:pPr>
        <w:pStyle w:val="a4"/>
        <w:jc w:val="both"/>
        <w:rPr>
          <w:rFonts w:asciiTheme="minorHAnsi" w:hAnsiTheme="minorHAnsi" w:cstheme="minorHAnsi"/>
          <w:b/>
        </w:rPr>
      </w:pPr>
      <w:r w:rsidRPr="00452AC4">
        <w:rPr>
          <w:rFonts w:asciiTheme="minorHAnsi" w:hAnsiTheme="minorHAnsi" w:cstheme="minorHAnsi"/>
          <w:b/>
          <w:bCs/>
        </w:rPr>
        <w:t>Баранов М. В.</w:t>
      </w:r>
    </w:p>
    <w:sectPr w:rsidR="00DC3636" w:rsidRPr="00452AC4" w:rsidSect="00DC363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75A" w:rsidRDefault="0051175A" w:rsidP="004D1AD4">
      <w:pPr>
        <w:spacing w:after="0" w:line="240" w:lineRule="auto"/>
      </w:pPr>
      <w:r>
        <w:separator/>
      </w:r>
    </w:p>
  </w:endnote>
  <w:endnote w:type="continuationSeparator" w:id="0">
    <w:p w:rsidR="0051175A" w:rsidRDefault="0051175A" w:rsidP="004D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charset w:val="80"/>
    <w:family w:val="auto"/>
    <w:pitch w:val="default"/>
    <w:sig w:usb0="00000201"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061554"/>
      <w:docPartObj>
        <w:docPartGallery w:val="Page Numbers (Bottom of Page)"/>
        <w:docPartUnique/>
      </w:docPartObj>
    </w:sdtPr>
    <w:sdtContent>
      <w:p w:rsidR="004D1AD4" w:rsidRDefault="004D1AD4">
        <w:pPr>
          <w:pStyle w:val="a8"/>
          <w:jc w:val="right"/>
        </w:pPr>
        <w:r>
          <w:fldChar w:fldCharType="begin"/>
        </w:r>
        <w:r>
          <w:instrText>PAGE   \* MERGEFORMAT</w:instrText>
        </w:r>
        <w:r>
          <w:fldChar w:fldCharType="separate"/>
        </w:r>
        <w:r w:rsidR="003F5D96">
          <w:rPr>
            <w:noProof/>
          </w:rPr>
          <w:t>1</w:t>
        </w:r>
        <w:r>
          <w:fldChar w:fldCharType="end"/>
        </w:r>
      </w:p>
    </w:sdtContent>
  </w:sdt>
  <w:p w:rsidR="004D1AD4" w:rsidRDefault="004D1A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75A" w:rsidRDefault="0051175A" w:rsidP="004D1AD4">
      <w:pPr>
        <w:spacing w:after="0" w:line="240" w:lineRule="auto"/>
      </w:pPr>
      <w:r>
        <w:separator/>
      </w:r>
    </w:p>
  </w:footnote>
  <w:footnote w:type="continuationSeparator" w:id="0">
    <w:p w:rsidR="0051175A" w:rsidRDefault="0051175A" w:rsidP="004D1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27AB3"/>
    <w:multiLevelType w:val="hybridMultilevel"/>
    <w:tmpl w:val="228490AE"/>
    <w:lvl w:ilvl="0" w:tplc="3D844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B25B58"/>
    <w:multiLevelType w:val="hybridMultilevel"/>
    <w:tmpl w:val="0B68F7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483FD5"/>
    <w:multiLevelType w:val="multilevel"/>
    <w:tmpl w:val="242E69A2"/>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A03737"/>
    <w:multiLevelType w:val="multilevel"/>
    <w:tmpl w:val="70305598"/>
    <w:lvl w:ilvl="0">
      <w:start w:val="1"/>
      <w:numFmt w:val="decimal"/>
      <w:lvlText w:val="%1."/>
      <w:lvlJc w:val="left"/>
      <w:pPr>
        <w:ind w:left="420" w:hanging="360"/>
      </w:pPr>
      <w:rPr>
        <w:rFonts w:hint="default"/>
      </w:rPr>
    </w:lvl>
    <w:lvl w:ilvl="1">
      <w:start w:val="1"/>
      <w:numFmt w:val="decimal"/>
      <w:isLgl/>
      <w:lvlText w:val="%1.%2."/>
      <w:lvlJc w:val="left"/>
      <w:pPr>
        <w:ind w:left="764" w:hanging="420"/>
      </w:pPr>
      <w:rPr>
        <w:rFonts w:hint="default"/>
      </w:rPr>
    </w:lvl>
    <w:lvl w:ilvl="2">
      <w:start w:val="1"/>
      <w:numFmt w:val="decimal"/>
      <w:isLgl/>
      <w:lvlText w:val="%1.%2.%3."/>
      <w:lvlJc w:val="left"/>
      <w:pPr>
        <w:ind w:left="1348" w:hanging="720"/>
      </w:pPr>
      <w:rPr>
        <w:rFonts w:hint="default"/>
      </w:rPr>
    </w:lvl>
    <w:lvl w:ilvl="3">
      <w:start w:val="1"/>
      <w:numFmt w:val="decimal"/>
      <w:isLgl/>
      <w:lvlText w:val="%1.%2.%3.%4."/>
      <w:lvlJc w:val="left"/>
      <w:pPr>
        <w:ind w:left="1632"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560" w:hanging="108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488" w:hanging="1440"/>
      </w:pPr>
      <w:rPr>
        <w:rFonts w:hint="default"/>
      </w:rPr>
    </w:lvl>
    <w:lvl w:ilvl="8">
      <w:start w:val="1"/>
      <w:numFmt w:val="decimal"/>
      <w:isLgl/>
      <w:lvlText w:val="%1.%2.%3.%4.%5.%6.%7.%8.%9."/>
      <w:lvlJc w:val="left"/>
      <w:pPr>
        <w:ind w:left="4132" w:hanging="1800"/>
      </w:pPr>
      <w:rPr>
        <w:rFonts w:hint="default"/>
      </w:rPr>
    </w:lvl>
  </w:abstractNum>
  <w:abstractNum w:abstractNumId="4" w15:restartNumberingAfterBreak="0">
    <w:nsid w:val="6A1C07FF"/>
    <w:multiLevelType w:val="multilevel"/>
    <w:tmpl w:val="242E69A2"/>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36"/>
    <w:rsid w:val="003F5D96"/>
    <w:rsid w:val="00452AC4"/>
    <w:rsid w:val="004D1AD4"/>
    <w:rsid w:val="0051175A"/>
    <w:rsid w:val="00926BA0"/>
    <w:rsid w:val="00DC3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BC59E-C8E1-43AF-B668-46923B27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636"/>
    <w:pPr>
      <w:ind w:left="720"/>
      <w:contextualSpacing/>
    </w:pPr>
  </w:style>
  <w:style w:type="paragraph" w:styleId="a4">
    <w:name w:val="No Spacing"/>
    <w:uiPriority w:val="1"/>
    <w:qFormat/>
    <w:rsid w:val="00DC3636"/>
    <w:pPr>
      <w:spacing w:after="0" w:line="240" w:lineRule="auto"/>
    </w:pPr>
    <w:rPr>
      <w:rFonts w:ascii="Calibri" w:eastAsia="Times New Roman" w:hAnsi="Calibri" w:cs="Times New Roman"/>
      <w:lang w:eastAsia="ru-RU"/>
    </w:rPr>
  </w:style>
  <w:style w:type="character" w:styleId="a5">
    <w:name w:val="Hyperlink"/>
    <w:uiPriority w:val="99"/>
    <w:unhideWhenUsed/>
    <w:rsid w:val="00DC3636"/>
    <w:rPr>
      <w:color w:val="0000FF"/>
      <w:u w:val="single"/>
    </w:rPr>
  </w:style>
  <w:style w:type="paragraph" w:styleId="a6">
    <w:name w:val="header"/>
    <w:basedOn w:val="a"/>
    <w:link w:val="a7"/>
    <w:uiPriority w:val="99"/>
    <w:unhideWhenUsed/>
    <w:rsid w:val="004D1A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1AD4"/>
  </w:style>
  <w:style w:type="paragraph" w:styleId="a8">
    <w:name w:val="footer"/>
    <w:basedOn w:val="a"/>
    <w:link w:val="a9"/>
    <w:uiPriority w:val="99"/>
    <w:unhideWhenUsed/>
    <w:rsid w:val="004D1A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1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mbotino.ru/" TargetMode="External"/><Relationship Id="rId3" Type="http://schemas.openxmlformats.org/officeDocument/2006/relationships/settings" Target="settings.xml"/><Relationship Id="rId7" Type="http://schemas.openxmlformats.org/officeDocument/2006/relationships/hyperlink" Target="http://www.tumbot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1655</Words>
  <Characters>9436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2023-10-20T17:12:00Z</dcterms:created>
  <dcterms:modified xsi:type="dcterms:W3CDTF">2023-10-20T17:12:00Z</dcterms:modified>
</cp:coreProperties>
</file>